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65AA" w14:textId="77777777" w:rsidR="009E47A2" w:rsidRDefault="003E23E0" w:rsidP="00A747AB">
      <w:pPr>
        <w:spacing w:after="0" w:line="240" w:lineRule="auto"/>
        <w:rPr>
          <w:rFonts w:ascii="Times New Roman" w:hAnsi="Times New Roman" w:cs="Times New Roman"/>
          <w:b/>
          <w:bCs/>
          <w:i/>
          <w:sz w:val="24"/>
          <w:szCs w:val="24"/>
        </w:rPr>
      </w:pPr>
      <w:r w:rsidRPr="001943A1">
        <w:rPr>
          <w:rFonts w:ascii="Times New Roman" w:hAnsi="Times New Roman" w:cs="Times New Roman"/>
          <w:b/>
          <w:sz w:val="24"/>
          <w:szCs w:val="24"/>
        </w:rPr>
        <w:t xml:space="preserve">Leave to Appeal granted in </w:t>
      </w:r>
      <w:r w:rsidRPr="001943A1">
        <w:rPr>
          <w:rFonts w:ascii="Times New Roman" w:hAnsi="Times New Roman" w:cs="Times New Roman"/>
          <w:b/>
          <w:i/>
          <w:sz w:val="24"/>
          <w:szCs w:val="24"/>
        </w:rPr>
        <w:t xml:space="preserve">Ernst </w:t>
      </w:r>
      <w:r w:rsidR="00A747AB">
        <w:rPr>
          <w:rFonts w:ascii="Times New Roman" w:hAnsi="Times New Roman" w:cs="Times New Roman"/>
          <w:b/>
          <w:bCs/>
          <w:i/>
          <w:sz w:val="24"/>
          <w:szCs w:val="24"/>
        </w:rPr>
        <w:t>v</w:t>
      </w:r>
      <w:r w:rsidRPr="001943A1">
        <w:rPr>
          <w:rFonts w:ascii="Times New Roman" w:hAnsi="Times New Roman" w:cs="Times New Roman"/>
          <w:b/>
          <w:bCs/>
          <w:i/>
          <w:sz w:val="24"/>
          <w:szCs w:val="24"/>
        </w:rPr>
        <w:t xml:space="preserve"> Alberta Energy Regulator</w:t>
      </w:r>
    </w:p>
    <w:p w14:paraId="314F20C5" w14:textId="77777777" w:rsidR="00A747AB" w:rsidRPr="001943A1" w:rsidRDefault="00A747AB" w:rsidP="00A747AB">
      <w:pPr>
        <w:spacing w:after="0" w:line="240" w:lineRule="auto"/>
        <w:rPr>
          <w:rFonts w:ascii="Times New Roman" w:hAnsi="Times New Roman" w:cs="Times New Roman"/>
          <w:b/>
          <w:bCs/>
          <w:i/>
          <w:sz w:val="24"/>
          <w:szCs w:val="24"/>
        </w:rPr>
      </w:pPr>
    </w:p>
    <w:p w14:paraId="43A902A1" w14:textId="77777777" w:rsidR="00AA4C73" w:rsidRDefault="00AA4C73" w:rsidP="00A747AB">
      <w:pPr>
        <w:spacing w:after="0" w:line="240" w:lineRule="auto"/>
        <w:rPr>
          <w:rFonts w:ascii="Times New Roman" w:hAnsi="Times New Roman" w:cs="Times New Roman"/>
          <w:b/>
          <w:bCs/>
          <w:sz w:val="24"/>
          <w:szCs w:val="24"/>
        </w:rPr>
      </w:pPr>
      <w:r w:rsidRPr="001943A1">
        <w:rPr>
          <w:rFonts w:ascii="Times New Roman" w:hAnsi="Times New Roman" w:cs="Times New Roman"/>
          <w:b/>
          <w:bCs/>
          <w:sz w:val="24"/>
          <w:szCs w:val="24"/>
        </w:rPr>
        <w:t xml:space="preserve">By: Jennifer </w:t>
      </w:r>
      <w:proofErr w:type="spellStart"/>
      <w:r w:rsidRPr="001943A1">
        <w:rPr>
          <w:rFonts w:ascii="Times New Roman" w:hAnsi="Times New Roman" w:cs="Times New Roman"/>
          <w:b/>
          <w:bCs/>
          <w:sz w:val="24"/>
          <w:szCs w:val="24"/>
        </w:rPr>
        <w:t>Koshan</w:t>
      </w:r>
      <w:proofErr w:type="spellEnd"/>
    </w:p>
    <w:p w14:paraId="45D6A4E4" w14:textId="77777777" w:rsidR="00A747AB" w:rsidRPr="001943A1" w:rsidRDefault="00A747AB" w:rsidP="00A747AB">
      <w:pPr>
        <w:spacing w:after="0" w:line="240" w:lineRule="auto"/>
        <w:rPr>
          <w:rFonts w:ascii="Times New Roman" w:hAnsi="Times New Roman" w:cs="Times New Roman"/>
          <w:b/>
          <w:bCs/>
          <w:sz w:val="24"/>
          <w:szCs w:val="24"/>
        </w:rPr>
      </w:pPr>
    </w:p>
    <w:p w14:paraId="5680A6D4" w14:textId="77777777" w:rsidR="00AA4C73" w:rsidRDefault="00AA4C73" w:rsidP="00A747AB">
      <w:pPr>
        <w:spacing w:after="0" w:line="240" w:lineRule="auto"/>
        <w:rPr>
          <w:rFonts w:ascii="Times New Roman" w:hAnsi="Times New Roman" w:cs="Times New Roman"/>
          <w:bCs/>
          <w:sz w:val="24"/>
          <w:szCs w:val="24"/>
        </w:rPr>
      </w:pPr>
      <w:r w:rsidRPr="001943A1">
        <w:rPr>
          <w:rFonts w:ascii="Times New Roman" w:hAnsi="Times New Roman" w:cs="Times New Roman"/>
          <w:b/>
          <w:bCs/>
          <w:sz w:val="24"/>
          <w:szCs w:val="24"/>
        </w:rPr>
        <w:t xml:space="preserve">Case commented on: </w:t>
      </w:r>
      <w:r w:rsidRPr="001943A1">
        <w:rPr>
          <w:rFonts w:ascii="Times New Roman" w:hAnsi="Times New Roman" w:cs="Times New Roman"/>
          <w:bCs/>
          <w:i/>
          <w:iCs/>
          <w:sz w:val="24"/>
          <w:szCs w:val="24"/>
        </w:rPr>
        <w:t>Ernst v Alberta Energy Regulator</w:t>
      </w:r>
      <w:r w:rsidRPr="001943A1">
        <w:rPr>
          <w:rFonts w:ascii="Times New Roman" w:hAnsi="Times New Roman" w:cs="Times New Roman"/>
          <w:bCs/>
          <w:sz w:val="24"/>
          <w:szCs w:val="24"/>
        </w:rPr>
        <w:t xml:space="preserve">, </w:t>
      </w:r>
      <w:hyperlink r:id="rId5" w:history="1">
        <w:r w:rsidRPr="001943A1">
          <w:rPr>
            <w:rStyle w:val="Hyperlink"/>
            <w:rFonts w:ascii="Times New Roman" w:hAnsi="Times New Roman" w:cs="Times New Roman"/>
            <w:bCs/>
            <w:sz w:val="24"/>
            <w:szCs w:val="24"/>
          </w:rPr>
          <w:t>2013 ABQB 537</w:t>
        </w:r>
      </w:hyperlink>
      <w:r w:rsidRPr="001943A1">
        <w:rPr>
          <w:rFonts w:ascii="Times New Roman" w:hAnsi="Times New Roman" w:cs="Times New Roman"/>
          <w:bCs/>
          <w:sz w:val="24"/>
          <w:szCs w:val="24"/>
        </w:rPr>
        <w:t xml:space="preserve">, </w:t>
      </w:r>
      <w:proofErr w:type="spellStart"/>
      <w:r w:rsidRPr="001943A1">
        <w:rPr>
          <w:rFonts w:ascii="Times New Roman" w:hAnsi="Times New Roman" w:cs="Times New Roman"/>
          <w:bCs/>
          <w:sz w:val="24"/>
          <w:szCs w:val="24"/>
        </w:rPr>
        <w:t>aff’d</w:t>
      </w:r>
      <w:proofErr w:type="spellEnd"/>
      <w:r w:rsidRPr="001943A1">
        <w:rPr>
          <w:rFonts w:ascii="Times New Roman" w:hAnsi="Times New Roman" w:cs="Times New Roman"/>
          <w:bCs/>
          <w:sz w:val="24"/>
          <w:szCs w:val="24"/>
        </w:rPr>
        <w:t xml:space="preserve"> </w:t>
      </w:r>
      <w:hyperlink r:id="rId6" w:history="1">
        <w:r w:rsidRPr="001943A1">
          <w:rPr>
            <w:rStyle w:val="Hyperlink"/>
            <w:rFonts w:ascii="Times New Roman" w:hAnsi="Times New Roman" w:cs="Times New Roman"/>
            <w:bCs/>
            <w:sz w:val="24"/>
            <w:szCs w:val="24"/>
          </w:rPr>
          <w:t>2014 ABCA 285</w:t>
        </w:r>
      </w:hyperlink>
      <w:r w:rsidRPr="001943A1">
        <w:rPr>
          <w:rFonts w:ascii="Times New Roman" w:hAnsi="Times New Roman" w:cs="Times New Roman"/>
          <w:bCs/>
          <w:sz w:val="24"/>
          <w:szCs w:val="24"/>
        </w:rPr>
        <w:t xml:space="preserve">, leave to appeal </w:t>
      </w:r>
      <w:hyperlink r:id="rId7" w:history="1">
        <w:r w:rsidRPr="001943A1">
          <w:rPr>
            <w:rStyle w:val="Hyperlink"/>
            <w:rFonts w:ascii="Times New Roman" w:hAnsi="Times New Roman" w:cs="Times New Roman"/>
            <w:bCs/>
            <w:sz w:val="24"/>
            <w:szCs w:val="24"/>
          </w:rPr>
          <w:t>granted</w:t>
        </w:r>
      </w:hyperlink>
      <w:r w:rsidRPr="001943A1">
        <w:rPr>
          <w:rFonts w:ascii="Times New Roman" w:hAnsi="Times New Roman" w:cs="Times New Roman"/>
          <w:bCs/>
          <w:sz w:val="24"/>
          <w:szCs w:val="24"/>
        </w:rPr>
        <w:t xml:space="preserve"> April 30, 2015 (SCC) </w:t>
      </w:r>
    </w:p>
    <w:p w14:paraId="208CF15A" w14:textId="77777777" w:rsidR="00A747AB" w:rsidRPr="001943A1" w:rsidRDefault="00A747AB" w:rsidP="00A747AB">
      <w:pPr>
        <w:spacing w:after="0" w:line="240" w:lineRule="auto"/>
        <w:rPr>
          <w:rFonts w:ascii="Times New Roman" w:hAnsi="Times New Roman" w:cs="Times New Roman"/>
          <w:b/>
          <w:bCs/>
          <w:sz w:val="24"/>
          <w:szCs w:val="24"/>
        </w:rPr>
      </w:pPr>
    </w:p>
    <w:p w14:paraId="5A13D778" w14:textId="77777777" w:rsidR="003E23E0" w:rsidRDefault="003E23E0" w:rsidP="00A747AB">
      <w:pPr>
        <w:spacing w:after="0" w:line="240" w:lineRule="auto"/>
        <w:rPr>
          <w:rFonts w:ascii="Times New Roman" w:hAnsi="Times New Roman" w:cs="Times New Roman"/>
          <w:bCs/>
          <w:sz w:val="24"/>
          <w:szCs w:val="24"/>
        </w:rPr>
      </w:pPr>
      <w:r w:rsidRPr="001943A1">
        <w:rPr>
          <w:rFonts w:ascii="Times New Roman" w:hAnsi="Times New Roman" w:cs="Times New Roman"/>
          <w:sz w:val="24"/>
          <w:szCs w:val="24"/>
        </w:rPr>
        <w:t xml:space="preserve">Today the Supreme Court (Justices </w:t>
      </w:r>
      <w:proofErr w:type="spellStart"/>
      <w:r w:rsidRPr="001943A1">
        <w:rPr>
          <w:rFonts w:ascii="Times New Roman" w:hAnsi="Times New Roman" w:cs="Times New Roman"/>
          <w:sz w:val="24"/>
          <w:szCs w:val="24"/>
        </w:rPr>
        <w:t>Abella</w:t>
      </w:r>
      <w:proofErr w:type="spellEnd"/>
      <w:r w:rsidRPr="001943A1">
        <w:rPr>
          <w:rFonts w:ascii="Times New Roman" w:hAnsi="Times New Roman" w:cs="Times New Roman"/>
          <w:sz w:val="24"/>
          <w:szCs w:val="24"/>
        </w:rPr>
        <w:t xml:space="preserve">, </w:t>
      </w:r>
      <w:proofErr w:type="spellStart"/>
      <w:r w:rsidRPr="001943A1">
        <w:rPr>
          <w:rFonts w:ascii="Times New Roman" w:hAnsi="Times New Roman" w:cs="Times New Roman"/>
          <w:sz w:val="24"/>
          <w:szCs w:val="24"/>
        </w:rPr>
        <w:t>Karakatsanis</w:t>
      </w:r>
      <w:proofErr w:type="spellEnd"/>
      <w:r w:rsidRPr="001943A1">
        <w:rPr>
          <w:rFonts w:ascii="Times New Roman" w:hAnsi="Times New Roman" w:cs="Times New Roman"/>
          <w:sz w:val="24"/>
          <w:szCs w:val="24"/>
        </w:rPr>
        <w:t xml:space="preserve"> and </w:t>
      </w:r>
      <w:proofErr w:type="spellStart"/>
      <w:r w:rsidRPr="001943A1">
        <w:rPr>
          <w:rFonts w:ascii="Times New Roman" w:hAnsi="Times New Roman" w:cs="Times New Roman"/>
          <w:sz w:val="24"/>
          <w:szCs w:val="24"/>
        </w:rPr>
        <w:t>Côté</w:t>
      </w:r>
      <w:proofErr w:type="spellEnd"/>
      <w:r w:rsidRPr="001943A1">
        <w:rPr>
          <w:rFonts w:ascii="Times New Roman" w:hAnsi="Times New Roman" w:cs="Times New Roman"/>
          <w:sz w:val="24"/>
          <w:szCs w:val="24"/>
        </w:rPr>
        <w:t xml:space="preserve">) </w:t>
      </w:r>
      <w:hyperlink r:id="rId8" w:history="1">
        <w:r w:rsidRPr="001943A1">
          <w:rPr>
            <w:rStyle w:val="Hyperlink"/>
            <w:rFonts w:ascii="Times New Roman" w:hAnsi="Times New Roman" w:cs="Times New Roman"/>
            <w:sz w:val="24"/>
            <w:szCs w:val="24"/>
          </w:rPr>
          <w:t>granted</w:t>
        </w:r>
      </w:hyperlink>
      <w:r w:rsidRPr="001943A1">
        <w:rPr>
          <w:rFonts w:ascii="Times New Roman" w:hAnsi="Times New Roman" w:cs="Times New Roman"/>
          <w:sz w:val="24"/>
          <w:szCs w:val="24"/>
        </w:rPr>
        <w:t xml:space="preserve"> leave to appeal with costs in the cause to Jessica Ernst</w:t>
      </w:r>
      <w:r w:rsidRPr="001943A1">
        <w:rPr>
          <w:rFonts w:ascii="Times New Roman" w:hAnsi="Times New Roman" w:cs="Times New Roman"/>
          <w:bCs/>
          <w:sz w:val="24"/>
          <w:szCs w:val="24"/>
        </w:rPr>
        <w:t xml:space="preserve">.  The Court’s </w:t>
      </w:r>
      <w:hyperlink r:id="rId9" w:history="1">
        <w:r w:rsidRPr="001943A1">
          <w:rPr>
            <w:rStyle w:val="Hyperlink"/>
            <w:rFonts w:ascii="Times New Roman" w:hAnsi="Times New Roman" w:cs="Times New Roman"/>
            <w:bCs/>
            <w:sz w:val="24"/>
            <w:szCs w:val="24"/>
          </w:rPr>
          <w:t>description of the case</w:t>
        </w:r>
      </w:hyperlink>
      <w:r w:rsidRPr="001943A1">
        <w:rPr>
          <w:rFonts w:ascii="Times New Roman" w:hAnsi="Times New Roman" w:cs="Times New Roman"/>
          <w:bCs/>
          <w:sz w:val="24"/>
          <w:szCs w:val="24"/>
        </w:rPr>
        <w:t xml:space="preserve"> is as follows:</w:t>
      </w:r>
    </w:p>
    <w:p w14:paraId="463E0543" w14:textId="77777777" w:rsidR="00A747AB" w:rsidRPr="001943A1" w:rsidRDefault="00A747AB" w:rsidP="00A747AB">
      <w:pPr>
        <w:spacing w:after="0" w:line="240" w:lineRule="auto"/>
        <w:rPr>
          <w:rFonts w:ascii="Times New Roman" w:hAnsi="Times New Roman" w:cs="Times New Roman"/>
          <w:bCs/>
          <w:sz w:val="24"/>
          <w:szCs w:val="24"/>
        </w:rPr>
      </w:pPr>
    </w:p>
    <w:p w14:paraId="545CC00B" w14:textId="77777777" w:rsidR="003E23E0" w:rsidRDefault="003E23E0" w:rsidP="00A747AB">
      <w:pPr>
        <w:spacing w:after="0" w:line="240" w:lineRule="auto"/>
        <w:ind w:left="720"/>
        <w:rPr>
          <w:rFonts w:ascii="Times New Roman" w:hAnsi="Times New Roman" w:cs="Times New Roman"/>
          <w:bCs/>
          <w:sz w:val="24"/>
          <w:szCs w:val="24"/>
        </w:rPr>
      </w:pPr>
      <w:r w:rsidRPr="001943A1">
        <w:rPr>
          <w:rFonts w:ascii="Times New Roman" w:hAnsi="Times New Roman" w:cs="Times New Roman"/>
          <w:bCs/>
          <w:sz w:val="24"/>
          <w:szCs w:val="24"/>
        </w:rPr>
        <w:t>Charter of Rights – Constitutional law – Enforcement – Remedy – Freedom of expression – Statutory immunity clause held to preclude adjudication of individual’s action in damages for alleged Charter breach by the regulator – Can a general “protection from action” clause contained within legislation bar a Charter claim for a personal remedy made pursuant to s. 24(1) of the Charter – Can legislation constrain what is considered to be a “just and appropriate” remedy under s. 24(1) of the Charter – Vancouver (City) v. Ward, 2010 SCC 27, [2010] 2 S.C.R. 28.</w:t>
      </w:r>
    </w:p>
    <w:p w14:paraId="054044A2" w14:textId="77777777" w:rsidR="00A747AB" w:rsidRPr="001943A1" w:rsidRDefault="00A747AB" w:rsidP="00A747AB">
      <w:pPr>
        <w:spacing w:after="0" w:line="240" w:lineRule="auto"/>
        <w:ind w:left="720"/>
        <w:rPr>
          <w:rFonts w:ascii="Times New Roman" w:hAnsi="Times New Roman" w:cs="Times New Roman"/>
          <w:bCs/>
          <w:sz w:val="24"/>
          <w:szCs w:val="24"/>
        </w:rPr>
      </w:pPr>
    </w:p>
    <w:p w14:paraId="0D95BE24" w14:textId="77777777" w:rsidR="003E23E0" w:rsidRDefault="003E23E0" w:rsidP="00A747AB">
      <w:pPr>
        <w:spacing w:after="0" w:line="240" w:lineRule="auto"/>
        <w:ind w:left="720"/>
        <w:rPr>
          <w:rFonts w:ascii="Times New Roman" w:hAnsi="Times New Roman" w:cs="Times New Roman"/>
          <w:bCs/>
          <w:sz w:val="24"/>
          <w:szCs w:val="24"/>
        </w:rPr>
      </w:pPr>
      <w:r w:rsidRPr="001943A1">
        <w:rPr>
          <w:rFonts w:ascii="Times New Roman" w:hAnsi="Times New Roman" w:cs="Times New Roman"/>
          <w:bCs/>
          <w:sz w:val="24"/>
          <w:szCs w:val="24"/>
        </w:rPr>
        <w:t xml:space="preserve">The applicant owns land near Rosebud, Alberta. She brought an action against: </w:t>
      </w:r>
      <w:proofErr w:type="spellStart"/>
      <w:r w:rsidRPr="001943A1">
        <w:rPr>
          <w:rFonts w:ascii="Times New Roman" w:hAnsi="Times New Roman" w:cs="Times New Roman"/>
          <w:bCs/>
          <w:sz w:val="24"/>
          <w:szCs w:val="24"/>
        </w:rPr>
        <w:t>i</w:t>
      </w:r>
      <w:proofErr w:type="spellEnd"/>
      <w:r w:rsidRPr="001943A1">
        <w:rPr>
          <w:rFonts w:ascii="Times New Roman" w:hAnsi="Times New Roman" w:cs="Times New Roman"/>
          <w:bCs/>
          <w:sz w:val="24"/>
          <w:szCs w:val="24"/>
        </w:rPr>
        <w:t>) EnCana Corporation for damage to her water well and the Rosebud aquifer allegedly caused by its construction, drilling, hydraulic fracturing and other activities in the area; ii) Alberta Environment and Sustainable Resource Development, claiming it owes her a duty to protect her water supply and had failed to address her complaints about EnCana; and iii) the respondent regulator, for “negligent administration of a regulatory regime” related to her claims against EnCana. She brought a further claim for damages against the regulator under s. 24(1) of the Charter for alleged breaches of her s. 2(b) Charter rights. She alleges that from November, 2005 to March 2007, the Board’s Compliance Branch refused to accept further communications from her through the usual channels for public communication until she agreed to raise her concerns only with the Board and not publicly through the media or through communications with other citizens. She submits the respondent infringed her s. 2(b) Charter rights both by restricting her communication with it and by using those restrictions to punish her for past public criticisms and prevent her making future public criticisms of the respondent.</w:t>
      </w:r>
    </w:p>
    <w:p w14:paraId="44AC22E6" w14:textId="77777777" w:rsidR="00A747AB" w:rsidRPr="001943A1" w:rsidRDefault="00A747AB" w:rsidP="00A747AB">
      <w:pPr>
        <w:spacing w:after="0" w:line="240" w:lineRule="auto"/>
        <w:ind w:left="720"/>
        <w:rPr>
          <w:rFonts w:ascii="Times New Roman" w:hAnsi="Times New Roman" w:cs="Times New Roman"/>
          <w:bCs/>
          <w:sz w:val="24"/>
          <w:szCs w:val="24"/>
        </w:rPr>
      </w:pPr>
    </w:p>
    <w:p w14:paraId="1AC3B7C2" w14:textId="77777777" w:rsidR="003E23E0" w:rsidRDefault="003E23E0" w:rsidP="00A747AB">
      <w:pPr>
        <w:spacing w:after="0" w:line="240" w:lineRule="auto"/>
        <w:ind w:left="720"/>
        <w:rPr>
          <w:rFonts w:ascii="Times New Roman" w:hAnsi="Times New Roman" w:cs="Times New Roman"/>
          <w:bCs/>
          <w:sz w:val="24"/>
          <w:szCs w:val="24"/>
        </w:rPr>
      </w:pPr>
      <w:r w:rsidRPr="001943A1">
        <w:rPr>
          <w:rFonts w:ascii="Times New Roman" w:hAnsi="Times New Roman" w:cs="Times New Roman"/>
          <w:bCs/>
          <w:sz w:val="24"/>
          <w:szCs w:val="24"/>
        </w:rPr>
        <w:t>The respondent brought an application to strike paragraphs from the Statement of Claim or grant summary judgment in its favour. The Court of Queen’s Bench of Alberta granted the application and struck out the applicant’s negligence and Charter claims. While the Court held that the Charter claims were not doomed to fail and did disclose a cause of action, it held that the courts were precluded from considering the claims by the statutory immunity provision in the Energy Resources Conservation Act, R.S.A. 2000, c. E-10. The Alberta Court of Appeal dismissed the appeal.</w:t>
      </w:r>
    </w:p>
    <w:p w14:paraId="616D5E06" w14:textId="77777777" w:rsidR="00A747AB" w:rsidRPr="001943A1" w:rsidRDefault="00A747AB" w:rsidP="00A747AB">
      <w:pPr>
        <w:spacing w:after="0" w:line="240" w:lineRule="auto"/>
        <w:ind w:left="720"/>
        <w:rPr>
          <w:rFonts w:ascii="Times New Roman" w:hAnsi="Times New Roman" w:cs="Times New Roman"/>
          <w:bCs/>
          <w:sz w:val="24"/>
          <w:szCs w:val="24"/>
        </w:rPr>
      </w:pPr>
    </w:p>
    <w:p w14:paraId="3BBCF022" w14:textId="77777777" w:rsidR="00307808" w:rsidRDefault="00EE255D" w:rsidP="00A747AB">
      <w:pPr>
        <w:spacing w:after="0" w:line="240" w:lineRule="auto"/>
        <w:rPr>
          <w:rFonts w:ascii="Times New Roman" w:hAnsi="Times New Roman" w:cs="Times New Roman"/>
          <w:bCs/>
          <w:sz w:val="24"/>
          <w:szCs w:val="24"/>
        </w:rPr>
      </w:pPr>
      <w:r w:rsidRPr="001943A1">
        <w:rPr>
          <w:rFonts w:ascii="Times New Roman" w:hAnsi="Times New Roman" w:cs="Times New Roman"/>
          <w:bCs/>
          <w:sz w:val="24"/>
          <w:szCs w:val="24"/>
        </w:rPr>
        <w:t xml:space="preserve">There have been several </w:t>
      </w:r>
      <w:proofErr w:type="spellStart"/>
      <w:r w:rsidR="003E23E0" w:rsidRPr="001943A1">
        <w:rPr>
          <w:rFonts w:ascii="Times New Roman" w:hAnsi="Times New Roman" w:cs="Times New Roman"/>
          <w:bCs/>
          <w:sz w:val="24"/>
          <w:szCs w:val="24"/>
        </w:rPr>
        <w:t>ABlawg</w:t>
      </w:r>
      <w:proofErr w:type="spellEnd"/>
      <w:r w:rsidR="003E23E0" w:rsidRPr="001943A1">
        <w:rPr>
          <w:rFonts w:ascii="Times New Roman" w:hAnsi="Times New Roman" w:cs="Times New Roman"/>
          <w:bCs/>
          <w:sz w:val="24"/>
          <w:szCs w:val="24"/>
        </w:rPr>
        <w:t xml:space="preserve"> posts on the Alberta courts’ earlier decisions in the </w:t>
      </w:r>
      <w:r w:rsidR="003E23E0" w:rsidRPr="001943A1">
        <w:rPr>
          <w:rFonts w:ascii="Times New Roman" w:hAnsi="Times New Roman" w:cs="Times New Roman"/>
          <w:bCs/>
          <w:i/>
          <w:sz w:val="24"/>
          <w:szCs w:val="24"/>
        </w:rPr>
        <w:t>Ernst</w:t>
      </w:r>
      <w:r w:rsidR="003E23E0" w:rsidRPr="001943A1">
        <w:rPr>
          <w:rFonts w:ascii="Times New Roman" w:hAnsi="Times New Roman" w:cs="Times New Roman"/>
          <w:bCs/>
          <w:sz w:val="24"/>
          <w:szCs w:val="24"/>
        </w:rPr>
        <w:t xml:space="preserve"> litigation</w:t>
      </w:r>
      <w:r w:rsidRPr="001943A1">
        <w:rPr>
          <w:rFonts w:ascii="Times New Roman" w:hAnsi="Times New Roman" w:cs="Times New Roman"/>
          <w:bCs/>
          <w:sz w:val="24"/>
          <w:szCs w:val="24"/>
        </w:rPr>
        <w:t xml:space="preserve">. The most relevant to the issue </w:t>
      </w:r>
      <w:r w:rsidR="00AA4C73" w:rsidRPr="001943A1">
        <w:rPr>
          <w:rFonts w:ascii="Times New Roman" w:hAnsi="Times New Roman" w:cs="Times New Roman"/>
          <w:bCs/>
          <w:sz w:val="24"/>
          <w:szCs w:val="24"/>
        </w:rPr>
        <w:t xml:space="preserve">that is now </w:t>
      </w:r>
      <w:r w:rsidRPr="001943A1">
        <w:rPr>
          <w:rFonts w:ascii="Times New Roman" w:hAnsi="Times New Roman" w:cs="Times New Roman"/>
          <w:bCs/>
          <w:sz w:val="24"/>
          <w:szCs w:val="24"/>
        </w:rPr>
        <w:t xml:space="preserve">going to the Supreme Court is </w:t>
      </w:r>
      <w:r w:rsidR="00AA4C73" w:rsidRPr="001943A1">
        <w:rPr>
          <w:rFonts w:ascii="Times New Roman" w:hAnsi="Times New Roman" w:cs="Times New Roman"/>
          <w:bCs/>
          <w:sz w:val="24"/>
          <w:szCs w:val="24"/>
        </w:rPr>
        <w:t>my post</w:t>
      </w:r>
      <w:r w:rsidRPr="001943A1">
        <w:rPr>
          <w:rFonts w:ascii="Times New Roman" w:hAnsi="Times New Roman" w:cs="Times New Roman"/>
          <w:bCs/>
          <w:sz w:val="24"/>
          <w:szCs w:val="24"/>
        </w:rPr>
        <w:t xml:space="preserve"> </w:t>
      </w:r>
      <w:hyperlink r:id="rId10" w:tooltip="Permalink to The Charter Issue(s) in  Ernst:  Awaiting Another Day" w:history="1">
        <w:r w:rsidRPr="001943A1">
          <w:rPr>
            <w:rStyle w:val="Hyperlink"/>
            <w:rFonts w:ascii="Times New Roman" w:hAnsi="Times New Roman" w:cs="Times New Roman"/>
            <w:bCs/>
            <w:sz w:val="24"/>
            <w:szCs w:val="24"/>
          </w:rPr>
          <w:t xml:space="preserve">The Charter Issue(s) in </w:t>
        </w:r>
        <w:r w:rsidRPr="001943A1">
          <w:rPr>
            <w:rStyle w:val="Hyperlink"/>
            <w:rFonts w:ascii="Times New Roman" w:hAnsi="Times New Roman" w:cs="Times New Roman"/>
            <w:bCs/>
            <w:i/>
            <w:iCs/>
            <w:sz w:val="24"/>
            <w:szCs w:val="24"/>
          </w:rPr>
          <w:t xml:space="preserve">Ernst: </w:t>
        </w:r>
        <w:r w:rsidRPr="001943A1">
          <w:rPr>
            <w:rStyle w:val="Hyperlink"/>
            <w:rFonts w:ascii="Times New Roman" w:hAnsi="Times New Roman" w:cs="Times New Roman"/>
            <w:bCs/>
            <w:sz w:val="24"/>
            <w:szCs w:val="24"/>
          </w:rPr>
          <w:t>Awaiting Another Day</w:t>
        </w:r>
      </w:hyperlink>
      <w:r w:rsidRPr="001943A1">
        <w:rPr>
          <w:rFonts w:ascii="Times New Roman" w:hAnsi="Times New Roman" w:cs="Times New Roman"/>
          <w:bCs/>
          <w:sz w:val="24"/>
          <w:szCs w:val="24"/>
        </w:rPr>
        <w:t xml:space="preserve">.  </w:t>
      </w:r>
    </w:p>
    <w:p w14:paraId="5A552E07" w14:textId="77777777" w:rsidR="00A747AB" w:rsidRPr="001943A1" w:rsidRDefault="00A747AB" w:rsidP="00A747AB">
      <w:pPr>
        <w:spacing w:after="0" w:line="240" w:lineRule="auto"/>
        <w:rPr>
          <w:rFonts w:ascii="Times New Roman" w:hAnsi="Times New Roman" w:cs="Times New Roman"/>
          <w:bCs/>
          <w:sz w:val="24"/>
          <w:szCs w:val="24"/>
        </w:rPr>
      </w:pPr>
    </w:p>
    <w:p w14:paraId="10D3AF0B" w14:textId="77777777" w:rsidR="00AA4C73" w:rsidRDefault="00EE255D" w:rsidP="00A747AB">
      <w:pPr>
        <w:spacing w:after="0" w:line="240" w:lineRule="auto"/>
        <w:rPr>
          <w:rFonts w:ascii="Times New Roman" w:hAnsi="Times New Roman" w:cs="Times New Roman"/>
          <w:bCs/>
          <w:sz w:val="24"/>
          <w:szCs w:val="24"/>
        </w:rPr>
      </w:pPr>
      <w:r w:rsidRPr="001943A1">
        <w:rPr>
          <w:rFonts w:ascii="Times New Roman" w:hAnsi="Times New Roman" w:cs="Times New Roman"/>
          <w:bCs/>
          <w:sz w:val="24"/>
          <w:szCs w:val="24"/>
        </w:rPr>
        <w:lastRenderedPageBreak/>
        <w:t xml:space="preserve">This post notes that at the ABQB level, Chief Justice </w:t>
      </w:r>
      <w:proofErr w:type="spellStart"/>
      <w:r w:rsidRPr="001943A1">
        <w:rPr>
          <w:rFonts w:ascii="Times New Roman" w:hAnsi="Times New Roman" w:cs="Times New Roman"/>
          <w:bCs/>
          <w:sz w:val="24"/>
          <w:szCs w:val="24"/>
        </w:rPr>
        <w:t>Wittman</w:t>
      </w:r>
      <w:proofErr w:type="spellEnd"/>
      <w:r w:rsidRPr="001943A1">
        <w:rPr>
          <w:rFonts w:ascii="Times New Roman" w:hAnsi="Times New Roman" w:cs="Times New Roman"/>
          <w:bCs/>
          <w:sz w:val="24"/>
          <w:szCs w:val="24"/>
        </w:rPr>
        <w:t xml:space="preserve"> found that </w:t>
      </w:r>
      <w:r w:rsidR="00307808" w:rsidRPr="001943A1">
        <w:rPr>
          <w:rFonts w:ascii="Times New Roman" w:hAnsi="Times New Roman" w:cs="Times New Roman"/>
          <w:bCs/>
          <w:sz w:val="24"/>
          <w:szCs w:val="24"/>
        </w:rPr>
        <w:t xml:space="preserve">although </w:t>
      </w:r>
      <w:r w:rsidRPr="001943A1">
        <w:rPr>
          <w:rFonts w:ascii="Times New Roman" w:hAnsi="Times New Roman" w:cs="Times New Roman"/>
          <w:bCs/>
          <w:sz w:val="24"/>
          <w:szCs w:val="24"/>
        </w:rPr>
        <w:t xml:space="preserve">Ernst’s </w:t>
      </w:r>
      <w:r w:rsidRPr="001943A1">
        <w:rPr>
          <w:rFonts w:ascii="Times New Roman" w:hAnsi="Times New Roman" w:cs="Times New Roman"/>
          <w:bCs/>
          <w:i/>
          <w:iCs/>
          <w:sz w:val="24"/>
          <w:szCs w:val="24"/>
        </w:rPr>
        <w:t>Charter</w:t>
      </w:r>
      <w:r w:rsidRPr="001943A1">
        <w:rPr>
          <w:rFonts w:ascii="Times New Roman" w:hAnsi="Times New Roman" w:cs="Times New Roman"/>
          <w:bCs/>
          <w:sz w:val="24"/>
          <w:szCs w:val="24"/>
        </w:rPr>
        <w:t xml:space="preserve"> claim </w:t>
      </w:r>
      <w:r w:rsidR="00307808" w:rsidRPr="001943A1">
        <w:rPr>
          <w:rFonts w:ascii="Times New Roman" w:hAnsi="Times New Roman" w:cs="Times New Roman"/>
          <w:bCs/>
          <w:sz w:val="24"/>
          <w:szCs w:val="24"/>
        </w:rPr>
        <w:t xml:space="preserve">against the ERCB (now AER) </w:t>
      </w:r>
      <w:r w:rsidRPr="001943A1">
        <w:rPr>
          <w:rFonts w:ascii="Times New Roman" w:hAnsi="Times New Roman" w:cs="Times New Roman"/>
          <w:bCs/>
          <w:sz w:val="24"/>
          <w:szCs w:val="24"/>
        </w:rPr>
        <w:t>should not be struck</w:t>
      </w:r>
      <w:r w:rsidR="00307808" w:rsidRPr="001943A1">
        <w:rPr>
          <w:rFonts w:ascii="Times New Roman" w:hAnsi="Times New Roman" w:cs="Times New Roman"/>
          <w:bCs/>
          <w:sz w:val="24"/>
          <w:szCs w:val="24"/>
        </w:rPr>
        <w:t xml:space="preserve"> on the merits</w:t>
      </w:r>
      <w:r w:rsidRPr="001943A1">
        <w:rPr>
          <w:rFonts w:ascii="Times New Roman" w:hAnsi="Times New Roman" w:cs="Times New Roman"/>
          <w:bCs/>
          <w:sz w:val="24"/>
          <w:szCs w:val="24"/>
        </w:rPr>
        <w:t xml:space="preserve">, section 43 of the </w:t>
      </w:r>
      <w:hyperlink r:id="rId11" w:history="1">
        <w:r w:rsidRPr="001943A1">
          <w:rPr>
            <w:rStyle w:val="Hyperlink"/>
            <w:rFonts w:ascii="Times New Roman" w:hAnsi="Times New Roman" w:cs="Times New Roman"/>
            <w:bCs/>
            <w:i/>
            <w:iCs/>
            <w:sz w:val="24"/>
            <w:szCs w:val="24"/>
          </w:rPr>
          <w:t>Energy Resources Conservation Act,</w:t>
        </w:r>
        <w:r w:rsidRPr="001943A1">
          <w:rPr>
            <w:rStyle w:val="Hyperlink"/>
            <w:rFonts w:ascii="Times New Roman" w:hAnsi="Times New Roman" w:cs="Times New Roman"/>
            <w:bCs/>
            <w:sz w:val="24"/>
            <w:szCs w:val="24"/>
          </w:rPr>
          <w:t xml:space="preserve"> RSA 2000, c. E-10</w:t>
        </w:r>
      </w:hyperlink>
      <w:r w:rsidRPr="001943A1">
        <w:rPr>
          <w:rFonts w:ascii="Times New Roman" w:hAnsi="Times New Roman" w:cs="Times New Roman"/>
          <w:bCs/>
          <w:sz w:val="24"/>
          <w:szCs w:val="24"/>
        </w:rPr>
        <w:t xml:space="preserve"> (</w:t>
      </w:r>
      <w:r w:rsidRPr="001943A1">
        <w:rPr>
          <w:rFonts w:ascii="Times New Roman" w:hAnsi="Times New Roman" w:cs="Times New Roman"/>
          <w:bCs/>
          <w:i/>
          <w:iCs/>
          <w:sz w:val="24"/>
          <w:szCs w:val="24"/>
        </w:rPr>
        <w:t>ERCA</w:t>
      </w:r>
      <w:r w:rsidRPr="001943A1">
        <w:rPr>
          <w:rFonts w:ascii="Times New Roman" w:hAnsi="Times New Roman" w:cs="Times New Roman"/>
          <w:bCs/>
          <w:sz w:val="24"/>
          <w:szCs w:val="24"/>
        </w:rPr>
        <w:t xml:space="preserve">) barred Ernst’s </w:t>
      </w:r>
      <w:r w:rsidRPr="001943A1">
        <w:rPr>
          <w:rFonts w:ascii="Times New Roman" w:hAnsi="Times New Roman" w:cs="Times New Roman"/>
          <w:bCs/>
          <w:i/>
          <w:iCs/>
          <w:sz w:val="24"/>
          <w:szCs w:val="24"/>
        </w:rPr>
        <w:t>Charter</w:t>
      </w:r>
      <w:r w:rsidRPr="001943A1">
        <w:rPr>
          <w:rFonts w:ascii="Times New Roman" w:hAnsi="Times New Roman" w:cs="Times New Roman"/>
          <w:bCs/>
          <w:sz w:val="24"/>
          <w:szCs w:val="24"/>
        </w:rPr>
        <w:t xml:space="preserve"> claim </w:t>
      </w:r>
      <w:r w:rsidR="00AA4C73" w:rsidRPr="001943A1">
        <w:rPr>
          <w:rFonts w:ascii="Times New Roman" w:hAnsi="Times New Roman" w:cs="Times New Roman"/>
          <w:bCs/>
          <w:sz w:val="24"/>
          <w:szCs w:val="24"/>
        </w:rPr>
        <w:t>(</w:t>
      </w:r>
      <w:hyperlink r:id="rId12" w:history="1">
        <w:r w:rsidR="00AA4C73" w:rsidRPr="001943A1">
          <w:rPr>
            <w:rStyle w:val="Hyperlink"/>
            <w:rFonts w:ascii="Times New Roman" w:hAnsi="Times New Roman" w:cs="Times New Roman"/>
            <w:bCs/>
            <w:sz w:val="24"/>
            <w:szCs w:val="24"/>
          </w:rPr>
          <w:t>2013 ABQB 537</w:t>
        </w:r>
      </w:hyperlink>
      <w:r w:rsidR="008F18E2" w:rsidRPr="001943A1">
        <w:rPr>
          <w:rFonts w:ascii="Times New Roman" w:hAnsi="Times New Roman" w:cs="Times New Roman"/>
          <w:bCs/>
          <w:sz w:val="24"/>
          <w:szCs w:val="24"/>
        </w:rPr>
        <w:t xml:space="preserve"> </w:t>
      </w:r>
      <w:r w:rsidRPr="001943A1">
        <w:rPr>
          <w:rFonts w:ascii="Times New Roman" w:hAnsi="Times New Roman" w:cs="Times New Roman"/>
          <w:bCs/>
          <w:sz w:val="24"/>
          <w:szCs w:val="24"/>
        </w:rPr>
        <w:t>at paras 42, 82-88). Ernst had not directly challenged the constitutionality of section 43; notice of constitutional question had not been given to the Attorneys General of Alberta and Canada</w:t>
      </w:r>
      <w:r w:rsidR="00307808" w:rsidRPr="001943A1">
        <w:rPr>
          <w:rFonts w:ascii="Times New Roman" w:hAnsi="Times New Roman" w:cs="Times New Roman"/>
          <w:bCs/>
          <w:sz w:val="24"/>
          <w:szCs w:val="24"/>
        </w:rPr>
        <w:t xml:space="preserve"> under </w:t>
      </w:r>
      <w:r w:rsidRPr="001943A1">
        <w:rPr>
          <w:rFonts w:ascii="Times New Roman" w:hAnsi="Times New Roman" w:cs="Times New Roman"/>
          <w:bCs/>
          <w:sz w:val="24"/>
          <w:szCs w:val="24"/>
        </w:rPr>
        <w:t xml:space="preserve">section 24 of the </w:t>
      </w:r>
      <w:hyperlink r:id="rId13" w:history="1">
        <w:r w:rsidRPr="001943A1">
          <w:rPr>
            <w:rStyle w:val="Hyperlink"/>
            <w:rFonts w:ascii="Times New Roman" w:hAnsi="Times New Roman" w:cs="Times New Roman"/>
            <w:bCs/>
            <w:i/>
            <w:iCs/>
            <w:sz w:val="24"/>
            <w:szCs w:val="24"/>
          </w:rPr>
          <w:t>Judicature Act</w:t>
        </w:r>
        <w:r w:rsidRPr="001943A1">
          <w:rPr>
            <w:rStyle w:val="Hyperlink"/>
            <w:rFonts w:ascii="Times New Roman" w:hAnsi="Times New Roman" w:cs="Times New Roman"/>
            <w:bCs/>
            <w:sz w:val="24"/>
            <w:szCs w:val="24"/>
          </w:rPr>
          <w:t>, RSA 2000, c J-2</w:t>
        </w:r>
      </w:hyperlink>
      <w:r w:rsidRPr="001943A1">
        <w:rPr>
          <w:rFonts w:ascii="Times New Roman" w:hAnsi="Times New Roman" w:cs="Times New Roman"/>
          <w:bCs/>
          <w:sz w:val="24"/>
          <w:szCs w:val="24"/>
        </w:rPr>
        <w:t>.</w:t>
      </w:r>
      <w:r w:rsidR="00AA4C73" w:rsidRPr="001943A1">
        <w:rPr>
          <w:rFonts w:ascii="Times New Roman" w:hAnsi="Times New Roman" w:cs="Times New Roman"/>
          <w:bCs/>
          <w:sz w:val="24"/>
          <w:szCs w:val="24"/>
        </w:rPr>
        <w:t xml:space="preserve"> Nevertheless, the Alberta Court of Appeal weighed in on the constitutional legitimacy of section 43, </w:t>
      </w:r>
      <w:r w:rsidR="00307808" w:rsidRPr="001943A1">
        <w:rPr>
          <w:rFonts w:ascii="Times New Roman" w:hAnsi="Times New Roman" w:cs="Times New Roman"/>
          <w:bCs/>
          <w:sz w:val="24"/>
          <w:szCs w:val="24"/>
        </w:rPr>
        <w:t xml:space="preserve">stating </w:t>
      </w:r>
      <w:r w:rsidR="008F18E2" w:rsidRPr="001943A1">
        <w:rPr>
          <w:rFonts w:ascii="Times New Roman" w:hAnsi="Times New Roman" w:cs="Times New Roman"/>
          <w:bCs/>
          <w:sz w:val="24"/>
          <w:szCs w:val="24"/>
        </w:rPr>
        <w:t xml:space="preserve">that </w:t>
      </w:r>
      <w:r w:rsidR="00AA4C73" w:rsidRPr="001943A1">
        <w:rPr>
          <w:rFonts w:ascii="Times New Roman" w:hAnsi="Times New Roman" w:cs="Times New Roman"/>
          <w:bCs/>
          <w:sz w:val="24"/>
          <w:szCs w:val="24"/>
        </w:rPr>
        <w:t>“It cannot be suggested that those sorts of limits on remedies are unconstitutional” (</w:t>
      </w:r>
      <w:hyperlink r:id="rId14" w:history="1">
        <w:r w:rsidR="00AA4C73" w:rsidRPr="001943A1">
          <w:rPr>
            <w:rStyle w:val="Hyperlink"/>
            <w:rFonts w:ascii="Times New Roman" w:hAnsi="Times New Roman" w:cs="Times New Roman"/>
            <w:bCs/>
            <w:sz w:val="24"/>
            <w:szCs w:val="24"/>
          </w:rPr>
          <w:t>2014 ABCA 285</w:t>
        </w:r>
      </w:hyperlink>
      <w:r w:rsidR="00AA4C73" w:rsidRPr="001943A1">
        <w:rPr>
          <w:rFonts w:ascii="Times New Roman" w:hAnsi="Times New Roman" w:cs="Times New Roman"/>
          <w:bCs/>
          <w:sz w:val="24"/>
          <w:szCs w:val="24"/>
        </w:rPr>
        <w:t xml:space="preserve"> at para 26). I concluded that because the constitutional issue was not squarely before the Court, its decision “should not be taken as a definitive assessment of the constitutionality of [section 43], nor that of its successor, section 27 of the </w:t>
      </w:r>
      <w:hyperlink r:id="rId15" w:history="1">
        <w:r w:rsidR="00AA4C73" w:rsidRPr="001943A1">
          <w:rPr>
            <w:rStyle w:val="Hyperlink"/>
            <w:rFonts w:ascii="Times New Roman" w:hAnsi="Times New Roman" w:cs="Times New Roman"/>
            <w:bCs/>
            <w:i/>
            <w:iCs/>
            <w:sz w:val="24"/>
            <w:szCs w:val="24"/>
          </w:rPr>
          <w:t xml:space="preserve">Responsible Energy Development Act, </w:t>
        </w:r>
        <w:r w:rsidR="00AA4C73" w:rsidRPr="001943A1">
          <w:rPr>
            <w:rStyle w:val="Hyperlink"/>
            <w:rFonts w:ascii="Times New Roman" w:hAnsi="Times New Roman" w:cs="Times New Roman"/>
            <w:bCs/>
            <w:iCs/>
            <w:sz w:val="24"/>
            <w:szCs w:val="24"/>
          </w:rPr>
          <w:t>SA 2012, c R-17.3.</w:t>
        </w:r>
      </w:hyperlink>
      <w:r w:rsidR="00AA4C73" w:rsidRPr="001943A1">
        <w:rPr>
          <w:rFonts w:ascii="Times New Roman" w:hAnsi="Times New Roman" w:cs="Times New Roman"/>
          <w:bCs/>
          <w:sz w:val="24"/>
          <w:szCs w:val="24"/>
        </w:rPr>
        <w:t xml:space="preserve"> That issue awaits another day, and sadly for Ernst, that day will not come in her case, even though her </w:t>
      </w:r>
      <w:r w:rsidR="00AA4C73" w:rsidRPr="001943A1">
        <w:rPr>
          <w:rFonts w:ascii="Times New Roman" w:hAnsi="Times New Roman" w:cs="Times New Roman"/>
          <w:bCs/>
          <w:i/>
          <w:iCs/>
          <w:sz w:val="24"/>
          <w:szCs w:val="24"/>
        </w:rPr>
        <w:t>Charter</w:t>
      </w:r>
      <w:r w:rsidR="00AA4C73" w:rsidRPr="001943A1">
        <w:rPr>
          <w:rFonts w:ascii="Times New Roman" w:hAnsi="Times New Roman" w:cs="Times New Roman"/>
          <w:bCs/>
          <w:sz w:val="24"/>
          <w:szCs w:val="24"/>
        </w:rPr>
        <w:t xml:space="preserve"> claim against the ERCB was arguable.” </w:t>
      </w:r>
    </w:p>
    <w:p w14:paraId="23EEED13" w14:textId="77777777" w:rsidR="00A747AB" w:rsidRPr="001943A1" w:rsidRDefault="00A747AB" w:rsidP="00A747AB">
      <w:pPr>
        <w:spacing w:after="0" w:line="240" w:lineRule="auto"/>
        <w:rPr>
          <w:rFonts w:ascii="Times New Roman" w:hAnsi="Times New Roman" w:cs="Times New Roman"/>
          <w:bCs/>
          <w:sz w:val="24"/>
          <w:szCs w:val="24"/>
        </w:rPr>
      </w:pPr>
    </w:p>
    <w:p w14:paraId="2009AE99" w14:textId="77777777" w:rsidR="00EE255D" w:rsidRDefault="00AA4C73" w:rsidP="00A747AB">
      <w:pPr>
        <w:spacing w:after="0" w:line="240" w:lineRule="auto"/>
        <w:rPr>
          <w:rFonts w:ascii="Times New Roman" w:hAnsi="Times New Roman" w:cs="Times New Roman"/>
          <w:sz w:val="24"/>
          <w:szCs w:val="24"/>
        </w:rPr>
      </w:pPr>
      <w:r w:rsidRPr="001943A1">
        <w:rPr>
          <w:rFonts w:ascii="Times New Roman" w:hAnsi="Times New Roman" w:cs="Times New Roman"/>
          <w:bCs/>
          <w:sz w:val="24"/>
          <w:szCs w:val="24"/>
        </w:rPr>
        <w:t xml:space="preserve">It appears that I must now eat my words, since </w:t>
      </w:r>
      <w:r w:rsidR="00307808" w:rsidRPr="001943A1">
        <w:rPr>
          <w:rFonts w:ascii="Times New Roman" w:hAnsi="Times New Roman" w:cs="Times New Roman"/>
          <w:bCs/>
          <w:sz w:val="24"/>
          <w:szCs w:val="24"/>
        </w:rPr>
        <w:t>“</w:t>
      </w:r>
      <w:r w:rsidR="00EE255D" w:rsidRPr="001943A1">
        <w:rPr>
          <w:rFonts w:ascii="Times New Roman" w:hAnsi="Times New Roman" w:cs="Times New Roman"/>
          <w:bCs/>
          <w:sz w:val="24"/>
          <w:szCs w:val="24"/>
        </w:rPr>
        <w:t>th</w:t>
      </w:r>
      <w:r w:rsidR="00307808" w:rsidRPr="001943A1">
        <w:rPr>
          <w:rFonts w:ascii="Times New Roman" w:hAnsi="Times New Roman" w:cs="Times New Roman"/>
          <w:bCs/>
          <w:sz w:val="24"/>
          <w:szCs w:val="24"/>
        </w:rPr>
        <w:t>at</w:t>
      </w:r>
      <w:r w:rsidR="00EE255D" w:rsidRPr="001943A1">
        <w:rPr>
          <w:rFonts w:ascii="Times New Roman" w:hAnsi="Times New Roman" w:cs="Times New Roman"/>
          <w:bCs/>
          <w:sz w:val="24"/>
          <w:szCs w:val="24"/>
        </w:rPr>
        <w:t xml:space="preserve"> day</w:t>
      </w:r>
      <w:r w:rsidR="00307808" w:rsidRPr="001943A1">
        <w:rPr>
          <w:rFonts w:ascii="Times New Roman" w:hAnsi="Times New Roman" w:cs="Times New Roman"/>
          <w:bCs/>
          <w:sz w:val="24"/>
          <w:szCs w:val="24"/>
        </w:rPr>
        <w:t>”</w:t>
      </w:r>
      <w:r w:rsidR="00EE255D" w:rsidRPr="001943A1">
        <w:rPr>
          <w:rFonts w:ascii="Times New Roman" w:hAnsi="Times New Roman" w:cs="Times New Roman"/>
          <w:bCs/>
          <w:sz w:val="24"/>
          <w:szCs w:val="24"/>
        </w:rPr>
        <w:t xml:space="preserve"> </w:t>
      </w:r>
      <w:r w:rsidRPr="001943A1">
        <w:rPr>
          <w:rFonts w:ascii="Times New Roman" w:hAnsi="Times New Roman" w:cs="Times New Roman"/>
          <w:bCs/>
          <w:sz w:val="24"/>
          <w:szCs w:val="24"/>
        </w:rPr>
        <w:t xml:space="preserve">does </w:t>
      </w:r>
      <w:r w:rsidR="00495590" w:rsidRPr="001943A1">
        <w:rPr>
          <w:rFonts w:ascii="Times New Roman" w:hAnsi="Times New Roman" w:cs="Times New Roman"/>
          <w:bCs/>
          <w:sz w:val="24"/>
          <w:szCs w:val="24"/>
        </w:rPr>
        <w:t xml:space="preserve">seem </w:t>
      </w:r>
      <w:r w:rsidRPr="001943A1">
        <w:rPr>
          <w:rFonts w:ascii="Times New Roman" w:hAnsi="Times New Roman" w:cs="Times New Roman"/>
          <w:bCs/>
          <w:sz w:val="24"/>
          <w:szCs w:val="24"/>
        </w:rPr>
        <w:t xml:space="preserve">to </w:t>
      </w:r>
      <w:r w:rsidR="00EE255D" w:rsidRPr="001943A1">
        <w:rPr>
          <w:rFonts w:ascii="Times New Roman" w:hAnsi="Times New Roman" w:cs="Times New Roman"/>
          <w:bCs/>
          <w:sz w:val="24"/>
          <w:szCs w:val="24"/>
        </w:rPr>
        <w:t>ha</w:t>
      </w:r>
      <w:r w:rsidRPr="001943A1">
        <w:rPr>
          <w:rFonts w:ascii="Times New Roman" w:hAnsi="Times New Roman" w:cs="Times New Roman"/>
          <w:bCs/>
          <w:sz w:val="24"/>
          <w:szCs w:val="24"/>
        </w:rPr>
        <w:t>ve</w:t>
      </w:r>
      <w:r w:rsidR="00EE255D" w:rsidRPr="001943A1">
        <w:rPr>
          <w:rFonts w:ascii="Times New Roman" w:hAnsi="Times New Roman" w:cs="Times New Roman"/>
          <w:bCs/>
          <w:sz w:val="24"/>
          <w:szCs w:val="24"/>
        </w:rPr>
        <w:t xml:space="preserve"> come</w:t>
      </w:r>
      <w:r w:rsidR="00307808" w:rsidRPr="001943A1">
        <w:rPr>
          <w:rFonts w:ascii="Times New Roman" w:hAnsi="Times New Roman" w:cs="Times New Roman"/>
          <w:bCs/>
          <w:sz w:val="24"/>
          <w:szCs w:val="24"/>
        </w:rPr>
        <w:t>;</w:t>
      </w:r>
      <w:r w:rsidRPr="001943A1">
        <w:rPr>
          <w:rFonts w:ascii="Times New Roman" w:hAnsi="Times New Roman" w:cs="Times New Roman"/>
          <w:bCs/>
          <w:sz w:val="24"/>
          <w:szCs w:val="24"/>
        </w:rPr>
        <w:t xml:space="preserve"> the SCC will consider the constitutionality of section 43 and like sections in other legislation. </w:t>
      </w:r>
      <w:hyperlink r:id="rId16" w:history="1">
        <w:r w:rsidR="00495590" w:rsidRPr="001943A1">
          <w:rPr>
            <w:rStyle w:val="Hyperlink"/>
            <w:rFonts w:ascii="Times New Roman" w:hAnsi="Times New Roman" w:cs="Times New Roman"/>
            <w:bCs/>
            <w:sz w:val="24"/>
            <w:szCs w:val="24"/>
          </w:rPr>
          <w:t>Ernst framed the issue on appeal</w:t>
        </w:r>
      </w:hyperlink>
      <w:r w:rsidR="00495590" w:rsidRPr="001943A1">
        <w:rPr>
          <w:rFonts w:ascii="Times New Roman" w:hAnsi="Times New Roman" w:cs="Times New Roman"/>
          <w:bCs/>
          <w:sz w:val="24"/>
          <w:szCs w:val="24"/>
        </w:rPr>
        <w:t xml:space="preserve"> as whether </w:t>
      </w:r>
      <w:r w:rsidR="00495590" w:rsidRPr="001943A1">
        <w:rPr>
          <w:rFonts w:ascii="Times New Roman" w:hAnsi="Times New Roman" w:cs="Times New Roman"/>
          <w:sz w:val="24"/>
          <w:szCs w:val="24"/>
        </w:rPr>
        <w:t xml:space="preserve">legislation can “block an individual from seeking a remedy for a breach of her Charter rights” under s 24(1) of the Charter, which provides that “Anyone whose rights or freedoms, as guaranteed by this Charter, have been infringed or denied may apply to a court of competent jurisdiction to obtain such a remedy as the court considers appropriate and just in the circumstance.”  Focusing on the interaction between section 43 of the </w:t>
      </w:r>
      <w:r w:rsidR="00495590" w:rsidRPr="001943A1">
        <w:rPr>
          <w:rFonts w:ascii="Times New Roman" w:hAnsi="Times New Roman" w:cs="Times New Roman"/>
          <w:i/>
          <w:sz w:val="24"/>
          <w:szCs w:val="24"/>
        </w:rPr>
        <w:t>ERCA</w:t>
      </w:r>
      <w:r w:rsidR="00495590" w:rsidRPr="001943A1">
        <w:rPr>
          <w:rFonts w:ascii="Times New Roman" w:hAnsi="Times New Roman" w:cs="Times New Roman"/>
          <w:sz w:val="24"/>
          <w:szCs w:val="24"/>
        </w:rPr>
        <w:t xml:space="preserve"> and section 24 of the </w:t>
      </w:r>
      <w:r w:rsidR="00495590" w:rsidRPr="001943A1">
        <w:rPr>
          <w:rFonts w:ascii="Times New Roman" w:hAnsi="Times New Roman" w:cs="Times New Roman"/>
          <w:i/>
          <w:sz w:val="24"/>
          <w:szCs w:val="24"/>
        </w:rPr>
        <w:t>Charter</w:t>
      </w:r>
      <w:r w:rsidR="00495590" w:rsidRPr="001943A1">
        <w:rPr>
          <w:rFonts w:ascii="Times New Roman" w:hAnsi="Times New Roman" w:cs="Times New Roman"/>
          <w:sz w:val="24"/>
          <w:szCs w:val="24"/>
        </w:rPr>
        <w:t xml:space="preserve"> </w:t>
      </w:r>
      <w:r w:rsidR="008F18E2" w:rsidRPr="001943A1">
        <w:rPr>
          <w:rFonts w:ascii="Times New Roman" w:hAnsi="Times New Roman" w:cs="Times New Roman"/>
          <w:sz w:val="24"/>
          <w:szCs w:val="24"/>
        </w:rPr>
        <w:t xml:space="preserve">may negate the need for a direct constitutional challenge to section 43. And it should be noted that the Ontario Court of Appeal came to a conclusion contrary to that of the Alberta Court of Appeal about the </w:t>
      </w:r>
      <w:r w:rsidR="00307808" w:rsidRPr="001943A1">
        <w:rPr>
          <w:rFonts w:ascii="Times New Roman" w:hAnsi="Times New Roman" w:cs="Times New Roman"/>
          <w:sz w:val="24"/>
          <w:szCs w:val="24"/>
        </w:rPr>
        <w:t xml:space="preserve">constitutionality </w:t>
      </w:r>
      <w:r w:rsidR="008F18E2" w:rsidRPr="001943A1">
        <w:rPr>
          <w:rFonts w:ascii="Times New Roman" w:hAnsi="Times New Roman" w:cs="Times New Roman"/>
          <w:sz w:val="24"/>
          <w:szCs w:val="24"/>
        </w:rPr>
        <w:t xml:space="preserve">of such statutory bars in </w:t>
      </w:r>
      <w:proofErr w:type="spellStart"/>
      <w:r w:rsidR="008F18E2" w:rsidRPr="001943A1">
        <w:rPr>
          <w:rFonts w:ascii="Times New Roman" w:hAnsi="Times New Roman" w:cs="Times New Roman"/>
          <w:i/>
          <w:iCs/>
          <w:sz w:val="24"/>
          <w:szCs w:val="24"/>
        </w:rPr>
        <w:t>Prete</w:t>
      </w:r>
      <w:proofErr w:type="spellEnd"/>
      <w:r w:rsidR="008F18E2" w:rsidRPr="001943A1">
        <w:rPr>
          <w:rFonts w:ascii="Times New Roman" w:hAnsi="Times New Roman" w:cs="Times New Roman"/>
          <w:i/>
          <w:iCs/>
          <w:sz w:val="24"/>
          <w:szCs w:val="24"/>
        </w:rPr>
        <w:t xml:space="preserve"> v Ontario </w:t>
      </w:r>
      <w:r w:rsidR="008F18E2" w:rsidRPr="001943A1">
        <w:rPr>
          <w:rFonts w:ascii="Times New Roman" w:hAnsi="Times New Roman" w:cs="Times New Roman"/>
          <w:sz w:val="24"/>
          <w:szCs w:val="24"/>
        </w:rPr>
        <w:t xml:space="preserve">(1993), </w:t>
      </w:r>
      <w:hyperlink r:id="rId17" w:history="1">
        <w:r w:rsidR="008F18E2" w:rsidRPr="001943A1">
          <w:rPr>
            <w:rStyle w:val="Hyperlink"/>
            <w:rFonts w:ascii="Times New Roman" w:hAnsi="Times New Roman" w:cs="Times New Roman"/>
            <w:sz w:val="24"/>
            <w:szCs w:val="24"/>
          </w:rPr>
          <w:t>1993 CanLII 3386 (ON CA)</w:t>
        </w:r>
      </w:hyperlink>
      <w:r w:rsidR="008F18E2" w:rsidRPr="001943A1">
        <w:rPr>
          <w:rFonts w:ascii="Times New Roman" w:hAnsi="Times New Roman" w:cs="Times New Roman"/>
          <w:sz w:val="24"/>
          <w:szCs w:val="24"/>
        </w:rPr>
        <w:t xml:space="preserve">, 16 OR (3d) 161, application for leave to appeal to SCC dismissed with costs, [1994] 1 SCR x.  </w:t>
      </w:r>
    </w:p>
    <w:p w14:paraId="2E7BDC01" w14:textId="77777777" w:rsidR="00A747AB" w:rsidRPr="001943A1" w:rsidRDefault="00A747AB" w:rsidP="00A747AB">
      <w:pPr>
        <w:spacing w:after="0" w:line="240" w:lineRule="auto"/>
        <w:rPr>
          <w:rFonts w:ascii="Times New Roman" w:hAnsi="Times New Roman" w:cs="Times New Roman"/>
          <w:bCs/>
          <w:sz w:val="24"/>
          <w:szCs w:val="24"/>
        </w:rPr>
      </w:pPr>
    </w:p>
    <w:p w14:paraId="60B3E395" w14:textId="77777777" w:rsidR="003E23E0" w:rsidRDefault="00EE255D" w:rsidP="00A747AB">
      <w:pPr>
        <w:spacing w:after="0" w:line="240" w:lineRule="auto"/>
        <w:rPr>
          <w:rFonts w:ascii="Times New Roman" w:hAnsi="Times New Roman" w:cs="Times New Roman"/>
          <w:bCs/>
          <w:sz w:val="24"/>
          <w:szCs w:val="24"/>
        </w:rPr>
      </w:pPr>
      <w:r w:rsidRPr="001943A1">
        <w:rPr>
          <w:rFonts w:ascii="Times New Roman" w:hAnsi="Times New Roman" w:cs="Times New Roman"/>
          <w:bCs/>
          <w:sz w:val="24"/>
          <w:szCs w:val="24"/>
        </w:rPr>
        <w:t xml:space="preserve">For other </w:t>
      </w:r>
      <w:proofErr w:type="spellStart"/>
      <w:r w:rsidR="008F18E2" w:rsidRPr="001943A1">
        <w:rPr>
          <w:rFonts w:ascii="Times New Roman" w:hAnsi="Times New Roman" w:cs="Times New Roman"/>
          <w:bCs/>
          <w:sz w:val="24"/>
          <w:szCs w:val="24"/>
        </w:rPr>
        <w:t>ABlawg</w:t>
      </w:r>
      <w:proofErr w:type="spellEnd"/>
      <w:r w:rsidR="008F18E2" w:rsidRPr="001943A1">
        <w:rPr>
          <w:rFonts w:ascii="Times New Roman" w:hAnsi="Times New Roman" w:cs="Times New Roman"/>
          <w:bCs/>
          <w:sz w:val="24"/>
          <w:szCs w:val="24"/>
        </w:rPr>
        <w:t xml:space="preserve"> </w:t>
      </w:r>
      <w:r w:rsidRPr="001943A1">
        <w:rPr>
          <w:rFonts w:ascii="Times New Roman" w:hAnsi="Times New Roman" w:cs="Times New Roman"/>
          <w:bCs/>
          <w:sz w:val="24"/>
          <w:szCs w:val="24"/>
        </w:rPr>
        <w:t xml:space="preserve">posts on the Ernst litigation </w:t>
      </w:r>
      <w:r w:rsidR="003E23E0" w:rsidRPr="001943A1">
        <w:rPr>
          <w:rFonts w:ascii="Times New Roman" w:hAnsi="Times New Roman" w:cs="Times New Roman"/>
          <w:bCs/>
          <w:sz w:val="24"/>
          <w:szCs w:val="24"/>
        </w:rPr>
        <w:t>see:</w:t>
      </w:r>
    </w:p>
    <w:p w14:paraId="702EC76F" w14:textId="77777777" w:rsidR="00A747AB" w:rsidRPr="001943A1" w:rsidRDefault="00A747AB" w:rsidP="00A747AB">
      <w:pPr>
        <w:spacing w:after="0" w:line="240" w:lineRule="auto"/>
        <w:rPr>
          <w:rFonts w:ascii="Times New Roman" w:hAnsi="Times New Roman" w:cs="Times New Roman"/>
          <w:bCs/>
          <w:sz w:val="24"/>
          <w:szCs w:val="24"/>
        </w:rPr>
      </w:pPr>
    </w:p>
    <w:p w14:paraId="4DA5D446" w14:textId="77777777" w:rsidR="003E23E0" w:rsidRPr="001943A1" w:rsidRDefault="00E676B4" w:rsidP="00A747AB">
      <w:pPr>
        <w:spacing w:after="0" w:line="240" w:lineRule="auto"/>
        <w:ind w:left="720"/>
        <w:rPr>
          <w:rFonts w:ascii="Times New Roman" w:hAnsi="Times New Roman" w:cs="Times New Roman"/>
          <w:bCs/>
          <w:sz w:val="24"/>
          <w:szCs w:val="24"/>
        </w:rPr>
      </w:pPr>
      <w:r w:rsidRPr="001943A1">
        <w:rPr>
          <w:rFonts w:ascii="Times New Roman" w:hAnsi="Times New Roman" w:cs="Times New Roman"/>
          <w:bCs/>
          <w:sz w:val="24"/>
          <w:szCs w:val="24"/>
        </w:rPr>
        <w:t xml:space="preserve">Shaun Fluker, </w:t>
      </w:r>
      <w:hyperlink r:id="rId18" w:tooltip="Permalink to  Ernst v Alberta Environment:  The Gatekeeper Refuses to Strike or Grant Summary Judgment" w:history="1">
        <w:r w:rsidR="003E23E0" w:rsidRPr="001943A1">
          <w:rPr>
            <w:rStyle w:val="Hyperlink"/>
            <w:rFonts w:ascii="Times New Roman" w:hAnsi="Times New Roman" w:cs="Times New Roman"/>
            <w:bCs/>
            <w:i/>
            <w:iCs/>
            <w:sz w:val="24"/>
            <w:szCs w:val="24"/>
          </w:rPr>
          <w:t xml:space="preserve">Ernst v Alberta Environment: </w:t>
        </w:r>
        <w:r w:rsidR="003E23E0" w:rsidRPr="001943A1">
          <w:rPr>
            <w:rStyle w:val="Hyperlink"/>
            <w:rFonts w:ascii="Times New Roman" w:hAnsi="Times New Roman" w:cs="Times New Roman"/>
            <w:bCs/>
            <w:sz w:val="24"/>
            <w:szCs w:val="24"/>
          </w:rPr>
          <w:t>The Gatekeeper Refuses to Strike or Grant Summary Judgment</w:t>
        </w:r>
      </w:hyperlink>
    </w:p>
    <w:p w14:paraId="6DCD7172" w14:textId="77777777" w:rsidR="003E23E0" w:rsidRDefault="00E676B4" w:rsidP="00A747AB">
      <w:pPr>
        <w:spacing w:after="0" w:line="240" w:lineRule="auto"/>
        <w:ind w:left="720"/>
        <w:rPr>
          <w:rFonts w:ascii="Times New Roman" w:hAnsi="Times New Roman" w:cs="Times New Roman"/>
          <w:bCs/>
          <w:sz w:val="24"/>
          <w:szCs w:val="24"/>
        </w:rPr>
      </w:pPr>
      <w:r w:rsidRPr="001943A1">
        <w:rPr>
          <w:rFonts w:ascii="Times New Roman" w:hAnsi="Times New Roman" w:cs="Times New Roman"/>
          <w:bCs/>
          <w:sz w:val="24"/>
          <w:szCs w:val="24"/>
        </w:rPr>
        <w:t xml:space="preserve">Martin Olszynski, </w:t>
      </w:r>
      <w:hyperlink r:id="rId19" w:tooltip="Permalink to Regulatory Negligence Redux: Alberta Environment’s Motion to Strike in Fracking Litigation Denied" w:history="1">
        <w:r w:rsidR="003E23E0" w:rsidRPr="001943A1">
          <w:rPr>
            <w:rStyle w:val="Hyperlink"/>
            <w:rFonts w:ascii="Times New Roman" w:hAnsi="Times New Roman" w:cs="Times New Roman"/>
            <w:bCs/>
            <w:sz w:val="24"/>
            <w:szCs w:val="24"/>
          </w:rPr>
          <w:t xml:space="preserve">Regulatory Negligence </w:t>
        </w:r>
        <w:proofErr w:type="spellStart"/>
        <w:r w:rsidR="003E23E0" w:rsidRPr="001943A1">
          <w:rPr>
            <w:rStyle w:val="Hyperlink"/>
            <w:rFonts w:ascii="Times New Roman" w:hAnsi="Times New Roman" w:cs="Times New Roman"/>
            <w:bCs/>
            <w:sz w:val="24"/>
            <w:szCs w:val="24"/>
          </w:rPr>
          <w:t>Redux</w:t>
        </w:r>
        <w:proofErr w:type="spellEnd"/>
        <w:r w:rsidR="003E23E0" w:rsidRPr="001943A1">
          <w:rPr>
            <w:rStyle w:val="Hyperlink"/>
            <w:rFonts w:ascii="Times New Roman" w:hAnsi="Times New Roman" w:cs="Times New Roman"/>
            <w:bCs/>
            <w:sz w:val="24"/>
            <w:szCs w:val="24"/>
          </w:rPr>
          <w:t>: Alberta Environment’s Motion to Strike in Fracking Litigation Denied</w:t>
        </w:r>
      </w:hyperlink>
      <w:r w:rsidR="003E23E0" w:rsidRPr="001943A1">
        <w:rPr>
          <w:rFonts w:ascii="Times New Roman" w:hAnsi="Times New Roman" w:cs="Times New Roman"/>
          <w:bCs/>
          <w:sz w:val="24"/>
          <w:szCs w:val="24"/>
        </w:rPr>
        <w:t xml:space="preserve"> </w:t>
      </w:r>
    </w:p>
    <w:p w14:paraId="7D861174" w14:textId="77777777" w:rsidR="00A747AB" w:rsidRPr="001943A1" w:rsidRDefault="00A747AB" w:rsidP="00A747AB">
      <w:pPr>
        <w:spacing w:after="0" w:line="240" w:lineRule="auto"/>
        <w:ind w:left="720"/>
        <w:rPr>
          <w:rFonts w:ascii="Times New Roman" w:hAnsi="Times New Roman" w:cs="Times New Roman"/>
          <w:bCs/>
          <w:sz w:val="24"/>
          <w:szCs w:val="24"/>
        </w:rPr>
      </w:pPr>
    </w:p>
    <w:p w14:paraId="1B5896D7" w14:textId="77777777" w:rsidR="003E23E0" w:rsidRDefault="00E676B4" w:rsidP="00A747AB">
      <w:pPr>
        <w:spacing w:after="0" w:line="240" w:lineRule="auto"/>
        <w:ind w:left="720"/>
        <w:rPr>
          <w:rStyle w:val="Hyperlink"/>
          <w:rFonts w:ascii="Times New Roman" w:hAnsi="Times New Roman" w:cs="Times New Roman"/>
          <w:bCs/>
          <w:sz w:val="24"/>
          <w:szCs w:val="24"/>
        </w:rPr>
      </w:pPr>
      <w:r w:rsidRPr="001943A1">
        <w:rPr>
          <w:rFonts w:ascii="Times New Roman" w:hAnsi="Times New Roman" w:cs="Times New Roman"/>
          <w:bCs/>
          <w:sz w:val="24"/>
          <w:szCs w:val="24"/>
        </w:rPr>
        <w:t xml:space="preserve">Shaun Fluker, </w:t>
      </w:r>
      <w:hyperlink r:id="rId20" w:tooltip="Permalink to  Ernst v Alberta (Energy Resources Conservation Board):  The gatekeeper is alive and well" w:history="1">
        <w:r w:rsidR="003E23E0" w:rsidRPr="001943A1">
          <w:rPr>
            <w:rStyle w:val="Hyperlink"/>
            <w:rFonts w:ascii="Times New Roman" w:hAnsi="Times New Roman" w:cs="Times New Roman"/>
            <w:bCs/>
            <w:i/>
            <w:iCs/>
            <w:sz w:val="24"/>
            <w:szCs w:val="24"/>
          </w:rPr>
          <w:t xml:space="preserve">Ernst v Alberta (Energy Resources Conservation Board): </w:t>
        </w:r>
        <w:r w:rsidR="003E23E0" w:rsidRPr="001943A1">
          <w:rPr>
            <w:rStyle w:val="Hyperlink"/>
            <w:rFonts w:ascii="Times New Roman" w:hAnsi="Times New Roman" w:cs="Times New Roman"/>
            <w:bCs/>
            <w:sz w:val="24"/>
            <w:szCs w:val="24"/>
          </w:rPr>
          <w:t>The gatekeeper is alive and well</w:t>
        </w:r>
      </w:hyperlink>
    </w:p>
    <w:p w14:paraId="309F67C9" w14:textId="77777777" w:rsidR="00A747AB" w:rsidRPr="001943A1" w:rsidRDefault="00A747AB" w:rsidP="00A747AB">
      <w:pPr>
        <w:spacing w:after="0" w:line="240" w:lineRule="auto"/>
        <w:ind w:left="720"/>
        <w:rPr>
          <w:rFonts w:ascii="Times New Roman" w:hAnsi="Times New Roman" w:cs="Times New Roman"/>
          <w:bCs/>
          <w:sz w:val="24"/>
          <w:szCs w:val="24"/>
        </w:rPr>
      </w:pPr>
    </w:p>
    <w:p w14:paraId="6E5D4DE7" w14:textId="77777777" w:rsidR="003E23E0" w:rsidRDefault="00E676B4" w:rsidP="00A747AB">
      <w:pPr>
        <w:spacing w:after="0" w:line="240" w:lineRule="auto"/>
        <w:ind w:left="720"/>
        <w:rPr>
          <w:rFonts w:ascii="Times New Roman" w:hAnsi="Times New Roman" w:cs="Times New Roman"/>
          <w:bCs/>
          <w:sz w:val="24"/>
          <w:szCs w:val="24"/>
        </w:rPr>
      </w:pPr>
      <w:r w:rsidRPr="001943A1">
        <w:rPr>
          <w:rFonts w:ascii="Times New Roman" w:hAnsi="Times New Roman" w:cs="Times New Roman"/>
          <w:bCs/>
          <w:sz w:val="24"/>
          <w:szCs w:val="24"/>
        </w:rPr>
        <w:t xml:space="preserve">Martin Olszynski, </w:t>
      </w:r>
      <w:hyperlink r:id="rId21" w:history="1">
        <w:r w:rsidR="003E23E0" w:rsidRPr="001943A1">
          <w:rPr>
            <w:rStyle w:val="Hyperlink"/>
            <w:rFonts w:ascii="Times New Roman" w:hAnsi="Times New Roman" w:cs="Times New Roman"/>
            <w:bCs/>
            <w:sz w:val="24"/>
            <w:szCs w:val="24"/>
          </w:rPr>
          <w:t>Revisiting Regulatory Negligence: The Ernst Fracking Litigation</w:t>
        </w:r>
      </w:hyperlink>
      <w:r w:rsidR="003E23E0" w:rsidRPr="001943A1">
        <w:rPr>
          <w:rFonts w:ascii="Times New Roman" w:hAnsi="Times New Roman" w:cs="Times New Roman"/>
          <w:bCs/>
          <w:sz w:val="24"/>
          <w:szCs w:val="24"/>
        </w:rPr>
        <w:t xml:space="preserve"> </w:t>
      </w:r>
    </w:p>
    <w:p w14:paraId="0C82867D" w14:textId="77777777" w:rsidR="00A747AB" w:rsidRPr="001943A1" w:rsidRDefault="00A747AB" w:rsidP="00A747AB">
      <w:pPr>
        <w:spacing w:after="0" w:line="240" w:lineRule="auto"/>
        <w:ind w:left="720"/>
        <w:rPr>
          <w:rFonts w:ascii="Times New Roman" w:hAnsi="Times New Roman" w:cs="Times New Roman"/>
          <w:bCs/>
          <w:sz w:val="24"/>
          <w:szCs w:val="24"/>
        </w:rPr>
      </w:pPr>
    </w:p>
    <w:p w14:paraId="066E2EB9" w14:textId="77777777" w:rsidR="003E23E0" w:rsidRPr="001943A1" w:rsidRDefault="00307808" w:rsidP="00A747AB">
      <w:pPr>
        <w:spacing w:after="0" w:line="240" w:lineRule="auto"/>
        <w:rPr>
          <w:rFonts w:ascii="Times New Roman" w:hAnsi="Times New Roman" w:cs="Times New Roman"/>
          <w:bCs/>
          <w:sz w:val="24"/>
          <w:szCs w:val="24"/>
        </w:rPr>
      </w:pPr>
      <w:r w:rsidRPr="001943A1">
        <w:rPr>
          <w:rFonts w:ascii="Times New Roman" w:hAnsi="Times New Roman" w:cs="Times New Roman"/>
          <w:bCs/>
          <w:sz w:val="24"/>
          <w:szCs w:val="24"/>
        </w:rPr>
        <w:t xml:space="preserve">And for Jessica Ernst’s blog, which contains copies of all of the relevant documents, see </w:t>
      </w:r>
      <w:hyperlink r:id="rId22" w:history="1">
        <w:r w:rsidRPr="001943A1">
          <w:rPr>
            <w:rStyle w:val="Hyperlink"/>
            <w:rFonts w:ascii="Times New Roman" w:hAnsi="Times New Roman" w:cs="Times New Roman"/>
            <w:bCs/>
            <w:sz w:val="24"/>
            <w:szCs w:val="24"/>
          </w:rPr>
          <w:t>here</w:t>
        </w:r>
      </w:hyperlink>
      <w:r w:rsidRPr="001943A1">
        <w:rPr>
          <w:rFonts w:ascii="Times New Roman" w:hAnsi="Times New Roman" w:cs="Times New Roman"/>
          <w:bCs/>
          <w:sz w:val="24"/>
          <w:szCs w:val="24"/>
        </w:rPr>
        <w:t xml:space="preserve">. </w:t>
      </w:r>
    </w:p>
    <w:p w14:paraId="4C03235B" w14:textId="77777777" w:rsidR="003E23E0" w:rsidRPr="001943A1" w:rsidRDefault="003E23E0" w:rsidP="00A747AB">
      <w:pPr>
        <w:spacing w:after="0" w:line="240" w:lineRule="auto"/>
        <w:rPr>
          <w:rFonts w:ascii="Times New Roman" w:hAnsi="Times New Roman" w:cs="Times New Roman"/>
          <w:b/>
          <w:sz w:val="24"/>
          <w:szCs w:val="24"/>
        </w:rPr>
      </w:pPr>
      <w:bookmarkStart w:id="0" w:name="_GoBack"/>
      <w:bookmarkEnd w:id="0"/>
    </w:p>
    <w:sectPr w:rsidR="003E23E0" w:rsidRPr="0019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E0"/>
    <w:rsid w:val="001943A1"/>
    <w:rsid w:val="00307808"/>
    <w:rsid w:val="003E23E0"/>
    <w:rsid w:val="00495590"/>
    <w:rsid w:val="007048EB"/>
    <w:rsid w:val="008F18E2"/>
    <w:rsid w:val="009E47A2"/>
    <w:rsid w:val="00A747AB"/>
    <w:rsid w:val="00AA4C73"/>
    <w:rsid w:val="00E676B4"/>
    <w:rsid w:val="00EE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0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3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480">
      <w:bodyDiv w:val="1"/>
      <w:marLeft w:val="0"/>
      <w:marRight w:val="0"/>
      <w:marTop w:val="0"/>
      <w:marBottom w:val="0"/>
      <w:divBdr>
        <w:top w:val="none" w:sz="0" w:space="0" w:color="auto"/>
        <w:left w:val="none" w:sz="0" w:space="0" w:color="auto"/>
        <w:bottom w:val="none" w:sz="0" w:space="0" w:color="auto"/>
        <w:right w:val="none" w:sz="0" w:space="0" w:color="auto"/>
      </w:divBdr>
    </w:div>
    <w:div w:id="343946158">
      <w:bodyDiv w:val="1"/>
      <w:marLeft w:val="0"/>
      <w:marRight w:val="0"/>
      <w:marTop w:val="0"/>
      <w:marBottom w:val="0"/>
      <w:divBdr>
        <w:top w:val="none" w:sz="0" w:space="0" w:color="auto"/>
        <w:left w:val="none" w:sz="0" w:space="0" w:color="auto"/>
        <w:bottom w:val="none" w:sz="0" w:space="0" w:color="auto"/>
        <w:right w:val="none" w:sz="0" w:space="0" w:color="auto"/>
      </w:divBdr>
    </w:div>
    <w:div w:id="614337539">
      <w:bodyDiv w:val="1"/>
      <w:marLeft w:val="0"/>
      <w:marRight w:val="0"/>
      <w:marTop w:val="0"/>
      <w:marBottom w:val="0"/>
      <w:divBdr>
        <w:top w:val="none" w:sz="0" w:space="0" w:color="auto"/>
        <w:left w:val="none" w:sz="0" w:space="0" w:color="auto"/>
        <w:bottom w:val="none" w:sz="0" w:space="0" w:color="auto"/>
        <w:right w:val="none" w:sz="0" w:space="0" w:color="auto"/>
      </w:divBdr>
    </w:div>
    <w:div w:id="6571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c-csc.gc.ca/case-dossier/info/sum-som-eng.aspx?cas=36167" TargetMode="External"/><Relationship Id="rId20" Type="http://schemas.openxmlformats.org/officeDocument/2006/relationships/hyperlink" Target="http://ablawg.ca/2014/10/20/ernst-v-alberta-energy-resources-conservation-board-the-gatekeeper-is-alive-and-well-2/" TargetMode="External"/><Relationship Id="rId21" Type="http://schemas.openxmlformats.org/officeDocument/2006/relationships/hyperlink" Target="http://ablawg.ca/2014/10/15/revisiting-regulatory-negligence-the-ernst-fracking-litigation/" TargetMode="External"/><Relationship Id="rId22" Type="http://schemas.openxmlformats.org/officeDocument/2006/relationships/hyperlink" Target="http://www.ernstversusencana.ca/the-lawsui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blawg.ca/2014/10/27/the-charter-issues-in-ernst-awaiting-another-day/" TargetMode="External"/><Relationship Id="rId11" Type="http://schemas.openxmlformats.org/officeDocument/2006/relationships/hyperlink" Target="http://www.canlii.org/en/ab/laws/stat/rsa-2000-c-e-10/latest/rsa-2000-c-e-10.html" TargetMode="External"/><Relationship Id="rId12" Type="http://schemas.openxmlformats.org/officeDocument/2006/relationships/hyperlink" Target="http://canlii.ca/t/g0s14" TargetMode="External"/><Relationship Id="rId13" Type="http://schemas.openxmlformats.org/officeDocument/2006/relationships/hyperlink" Target="http://www.canlii.org/en/ab/laws/stat/rsa-2000-c-j-2/latest/rsa-2000-c-j-2.html" TargetMode="External"/><Relationship Id="rId14" Type="http://schemas.openxmlformats.org/officeDocument/2006/relationships/hyperlink" Target="http://canlii.ca/t/g90hw" TargetMode="External"/><Relationship Id="rId15" Type="http://schemas.openxmlformats.org/officeDocument/2006/relationships/hyperlink" Target="http://canlii.ca/t/5277t" TargetMode="External"/><Relationship Id="rId16" Type="http://schemas.openxmlformats.org/officeDocument/2006/relationships/hyperlink" Target="http://www.ernstversusencana.ca/wp-content/uploads/2014-11-13-Filed-w-Supreme-Court-Canada-Application-for-Leave-to-Appeal-Arguments-supporting-documents-Ernst-vs-ERCB.pdf" TargetMode="External"/><Relationship Id="rId17" Type="http://schemas.openxmlformats.org/officeDocument/2006/relationships/hyperlink" Target="http://www.canlii.org/en/on/onca/doc/1993/1993canlii3386/1993canlii3386.html" TargetMode="External"/><Relationship Id="rId18" Type="http://schemas.openxmlformats.org/officeDocument/2006/relationships/hyperlink" Target="http://ablawg.ca/2014/11/17/ernst-v-alberta-environment-the-gatekeeper-refuses-to-strike-or-grant-summary-judgment/" TargetMode="External"/><Relationship Id="rId19" Type="http://schemas.openxmlformats.org/officeDocument/2006/relationships/hyperlink" Target="http://ablawg.ca/2014/11/14/regulatory-negligence-redux-alberta-environments-motion-to-strike-in-fracking-litigation-denie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nlii.ca/t/g0s14" TargetMode="External"/><Relationship Id="rId6" Type="http://schemas.openxmlformats.org/officeDocument/2006/relationships/hyperlink" Target="http://canlii.ca/t/g90hw" TargetMode="External"/><Relationship Id="rId7" Type="http://schemas.openxmlformats.org/officeDocument/2006/relationships/hyperlink" Target="http://www.scc-csc.gc.ca/case-dossier/info/dock-regi-eng.aspx?cas=36167" TargetMode="External"/><Relationship Id="rId8" Type="http://schemas.openxmlformats.org/officeDocument/2006/relationships/hyperlink" Target="http://www.scc-csc.gc.ca/case-dossier/info/dock-regi-eng.aspx?cas=36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1181</Words>
  <Characters>6736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Evelyn</cp:lastModifiedBy>
  <cp:revision>6</cp:revision>
  <dcterms:created xsi:type="dcterms:W3CDTF">2015-04-30T23:09:00Z</dcterms:created>
  <dcterms:modified xsi:type="dcterms:W3CDTF">2015-05-01T19:01:00Z</dcterms:modified>
</cp:coreProperties>
</file>